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25</w:t>
      </w:r>
    </w:p>
    <w:p>
      <w:r>
        <w:t>Bundesgericht (BGE), 1982-03-25, DE</w:t>
      </w:r>
    </w:p>
    <w:p>
      <w:r>
        <w:rPr>
          <w:b/>
        </w:rPr>
        <w:t xml:space="preserve">Quelle: </w:t>
      </w:r>
      <w:r>
        <w:t>https://mcp.opencaselaw.ch/entscheid/bge_108 IV 25</w:t>
      </w:r>
    </w:p>
    <w:p>
      <w:r>
        <w:t>FR: ATF 108 IV 25</w:t>
      </w:r>
    </w:p>
    <w:p>
      <w:r>
        <w:t>IT: DTF 108 IV 25</w:t>
      </w:r>
    </w:p>
    <w:p>
      <w:pPr>
        <w:pStyle w:val="Heading2"/>
      </w:pPr>
      <w:r>
        <w:t>Regeste</w:t>
      </w:r>
    </w:p>
    <w:p>
      <w:r>
        <w:t>Regeste Art. 251 StGB. Die kaufmännische Buchhaltung und ihre Belege müssen nicht nur formal, sondern auch materiell richtig sein (Art. 957 OR). Wer durch Wechsel- und Checkreiterei den Stand eines Bankkontos auf Kontrollstichtage hin von Soll auf Haben bringt und so in der Buchhaltung eine den Tatsachen nicht entsprechende Vermögenssituation vorspiegelt, macht sich der Falschbeurkundung schuldig.</w:t>
      </w:r>
    </w:p>
    <w:p>
      <w:pPr>
        <w:pStyle w:val="Heading2"/>
      </w:pPr>
      <w:r>
        <w:t>Erwägungen</w:t>
      </w:r>
    </w:p>
    <w:p>
      <w:r>
        <w:rPr>
          <w:b/>
        </w:rPr>
        <w:t>E. 1</w:t>
      </w:r>
    </w:p>
    <w:p>
      <w:r>
        <w:t>c) Nach herrschender Lehre und Rechtsprechung stellt die kaufmännische Buchhaltung mit ihren Bestandteilen, also auch den vom Beschwerdeführer und St. verwendeten Buchungsbelegen, eine Urkunde gemäss Art. 110 Ziff. 5 und Art. 251 StGB dar ( BGE 103 IV 176 f. mit Verweisungen; vgl. NIKLAUS SCHMID, Fragen der Falschbeurkundung bei Wirtschaftsdelikten, insbesondere im Zusammenhang mit der kaufmännischen Buchführung, in ZStR 95/1978, S. 280 ff.; BODMER/KLEINER/LUTZ, Kommentar zum Schweizerischen Bankgesetz, Zürich 1976, zu Art. 6). Hinsichtlich der Aussagekraft des vom Beschwerdeführer und Mitangeschuldigten auf die Kontrollzeit ausgewiesenen Kontosaldos ist wesentlich, dass die kaufmännische Buchführung und ihre Bestandteile (Belege, Bücher, Buchhaltungsauszüge über Einzelkonten, Bilanzen oder Erfolgsrechnungen, vgl. dazu SCHMID, a.a.O., S. 281 ff.) als Absichtsurkunden kraft Gesetzes ( Art. 957 OR ) bestimmt und geeignet sind, Tatsachen von rechtlicher Bedeutung bzw. die in ihr enthaltenen Tatsachen zu beweisen, wobei für ihren Urkundencharakter der mit der Buchführung verfolgte Zweck keine Rolle spielt ( BGE 106 IV 39 E. 1a; BGE 103 IV 177 b; BGE 79 IV 163 ). Demzufolge ist unerheblich, ob die jeweiligen Kontosaldi bloss der bankinternen Überschreitungskontrolle unterstellt waren oder durch die sogenannte Visabuchhaltung auf ihren Wahrheitsgehalt hätten überprüft werden können. Da überdies die Buchhaltung gemäss ihrer Zielsetzung von Art. 957 OR die der tatsächlichen BGE 108 IV 25 S. 27 wirtschaftlichen Lage entsprechende Vermögenssituation wiederzugeben hat, vermag ihre bloss formale Richtigkeit nicht zu genügen; Buchhaltung und Belege müssen auch materiell richtig sein (SCHMID, a.a.O., S. 291). Der Beschwerdeführer und der Leiter der Bankfiliale X. brachten indessen das Konto der Y. AG auf die Kontrollstichtage vom 1. November 1976, 15. November 1976 und 15. Januar 1977 hin durch Check- und Wechselreiterei entgegen seinem tatsächlichen Bestand vom Soll auf ein Haben, was aber nichts anderes als eine materiell unrichtige Buchung, mithin eine Falschbeurkundung darstellt. Die Berufung des Beschwerdeführers auf das sogenannte "window dressing" erscheint deshalb unangebracht, weil dieses - wie die Bezeichnung besagt (Schaufenster-dekorieren) - nur die äussere Optik einer Bilanz, nicht aber, wie vorliegend, den Wert bzw. die Substanz des bilanzierten Vermögens betreffen kann (ALBISETTI/BODMER/RUTSCHI, Handbuch des Bank-, Geld- und Börsenwesens der Schweiz, 1964, S. 629). Indem schliesslich Soll- und Habensaldi Tatsachen von rechtlicher Bedeutung darstellen, zu deren Beweis das Konto der Y. AG als Bestandteil der Buchhaltung bestimmt und geeignet war, und diese Urkunde einen der Wirklichkeit widersprechenden Kontostand aufzeigte, erweist sich unter Einbezug der unbestrittenen subjektiven Tatbestandselemente (Täuschungs- und Vorteilsabsicht) die von der Vorinstanz getroffene rechtliche Qualifikation als Urkundenfälschung bzw. Gehilfenschaft dazu als in jeder Hinsicht richtig; Bundesrecht ist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